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B4" w:rsidRPr="006274BA" w:rsidRDefault="004B7D2E" w:rsidP="006274BA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6274BA"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Bezpłatne poradnictwo prawne i obywatelskie jako skuteczna metoda walki  z wykluczeniem społecznym – włączenie kwestii poradnictwa prawnego i obywatelskiego do lokalnej polityki społecznej</w:t>
      </w:r>
    </w:p>
    <w:p w:rsidR="00A35010" w:rsidRPr="006274BA" w:rsidRDefault="00A35010" w:rsidP="006274BA">
      <w:pPr>
        <w:pStyle w:val="Akapitzlist"/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</w:p>
    <w:p w:rsidR="003E6FF7" w:rsidRPr="006274BA" w:rsidRDefault="00A35010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Opierając się na </w:t>
      </w:r>
      <w:r w:rsidR="00530CA4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istniejących 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definicjach wykluczenia społecznego</w:t>
      </w:r>
      <w:r w:rsidR="00663EB8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AD2309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dla potrzeb niniejszego opracowania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możemy </w:t>
      </w:r>
      <w:r w:rsidR="00AD2309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za podstawę przyjąć definicję</w:t>
      </w:r>
      <w:r w:rsidR="006274BA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wykorzystaną przez</w:t>
      </w:r>
      <w:r w:rsidR="00AD2309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</w:t>
      </w:r>
      <w:r w:rsidR="00AD2309" w:rsidRPr="006274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 Ryszard</w:t>
      </w:r>
      <w:r w:rsidR="00AD2309" w:rsidRPr="006274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</w:t>
      </w:r>
      <w:r w:rsidR="00AD2309" w:rsidRPr="006274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2309" w:rsidRPr="006274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Szarfenberg</w:t>
      </w:r>
      <w:r w:rsidR="00AD2309" w:rsidRPr="006274B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.: „</w:t>
      </w:r>
      <w:r w:rsidRPr="006274B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</w:rPr>
        <w:t>Powszechnie zakłada się dzisiaj, że wykluczenie społeczne nie jest stanem, ale procesem. Otóż, nie jest ani jednym, ani drugim, jest pojęciem mniej lub bardziej użytecznym w opisywaniu i wyjaśnianiu rzeczywistości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”.</w:t>
      </w:r>
      <w:r w:rsidR="00AD2309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E6FF7" w:rsidRPr="006274BA">
        <w:rPr>
          <w:rFonts w:ascii="Times New Roman" w:hAnsi="Times New Roman" w:cs="Times New Roman"/>
          <w:sz w:val="24"/>
          <w:szCs w:val="24"/>
        </w:rPr>
        <w:t xml:space="preserve">Pojęcie to służy również do </w:t>
      </w:r>
      <w:r w:rsidR="003E6FF7" w:rsidRPr="006274BA">
        <w:rPr>
          <w:rFonts w:ascii="Times New Roman" w:hAnsi="Times New Roman" w:cs="Times New Roman"/>
          <w:sz w:val="24"/>
          <w:szCs w:val="24"/>
        </w:rPr>
        <w:t xml:space="preserve">wpływania na politykę społeczną. Pojęcie wykluczenia społecznego ma więc </w:t>
      </w:r>
      <w:r w:rsidR="003E6FF7" w:rsidRPr="006274BA">
        <w:rPr>
          <w:rFonts w:ascii="Times New Roman" w:hAnsi="Times New Roman" w:cs="Times New Roman"/>
          <w:sz w:val="24"/>
          <w:szCs w:val="24"/>
        </w:rPr>
        <w:t>wielowymiarowy charakter:</w:t>
      </w:r>
      <w:r w:rsidR="003E6FF7" w:rsidRPr="00627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FF7" w:rsidRPr="006274BA">
        <w:rPr>
          <w:rFonts w:ascii="Times New Roman" w:hAnsi="Times New Roman" w:cs="Times New Roman"/>
          <w:b/>
          <w:bCs/>
          <w:sz w:val="24"/>
          <w:szCs w:val="24"/>
        </w:rPr>
        <w:t xml:space="preserve">wymiar poznawczy </w:t>
      </w:r>
      <w:r w:rsidR="003E6FF7" w:rsidRPr="006274BA">
        <w:rPr>
          <w:rFonts w:ascii="Times New Roman" w:hAnsi="Times New Roman" w:cs="Times New Roman"/>
          <w:sz w:val="24"/>
          <w:szCs w:val="24"/>
        </w:rPr>
        <w:t xml:space="preserve">(opisywanie i wyjaśnianie), </w:t>
      </w:r>
      <w:r w:rsidR="003E6FF7" w:rsidRPr="006274BA">
        <w:rPr>
          <w:rFonts w:ascii="Times New Roman" w:hAnsi="Times New Roman" w:cs="Times New Roman"/>
          <w:b/>
          <w:bCs/>
          <w:sz w:val="24"/>
          <w:szCs w:val="24"/>
        </w:rPr>
        <w:t xml:space="preserve">wymiar normatywny </w:t>
      </w:r>
      <w:r w:rsidR="003E6FF7" w:rsidRPr="006274BA">
        <w:rPr>
          <w:rFonts w:ascii="Times New Roman" w:hAnsi="Times New Roman" w:cs="Times New Roman"/>
          <w:sz w:val="24"/>
          <w:szCs w:val="24"/>
        </w:rPr>
        <w:t xml:space="preserve">(oceny) i </w:t>
      </w:r>
      <w:r w:rsidR="003E6FF7" w:rsidRPr="006274BA">
        <w:rPr>
          <w:rFonts w:ascii="Times New Roman" w:hAnsi="Times New Roman" w:cs="Times New Roman"/>
          <w:b/>
          <w:bCs/>
          <w:sz w:val="24"/>
          <w:szCs w:val="24"/>
        </w:rPr>
        <w:t xml:space="preserve">wymiar polityczny </w:t>
      </w:r>
      <w:r w:rsidR="003E6FF7" w:rsidRPr="006274BA">
        <w:rPr>
          <w:rFonts w:ascii="Times New Roman" w:hAnsi="Times New Roman" w:cs="Times New Roman"/>
          <w:sz w:val="24"/>
          <w:szCs w:val="24"/>
        </w:rPr>
        <w:t xml:space="preserve">(postulaty zmian i reform), a kryterium podziału na te wymiary jest cel, do jakiego go używamy. </w:t>
      </w:r>
      <w:r w:rsidR="00530CA4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530CA4" w:rsidRPr="006274BA" w:rsidRDefault="003E6FF7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Dokonując dalszej analizy, </w:t>
      </w:r>
      <w:r w:rsidR="00530CA4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należy wskazać grupy cech, ze względu na które, osoby uważa się za wykluczone społecznie. Można wyodrębnić 6 grup cech, pod kątem i z uwagi na które dokonuj się oceny statusu danej jednostki.</w:t>
      </w:r>
    </w:p>
    <w:p w:rsidR="00530CA4" w:rsidRPr="006274BA" w:rsidRDefault="00530CA4" w:rsidP="006274BA">
      <w:pPr>
        <w:pStyle w:val="Akapitzlist"/>
        <w:numPr>
          <w:ilvl w:val="0"/>
          <w:numId w:val="1"/>
        </w:numPr>
        <w:spacing w:line="360" w:lineRule="auto"/>
        <w:jc w:val="both"/>
        <w:rPr>
          <w:color w:val="2DA2BF"/>
        </w:rPr>
      </w:pPr>
      <w:r w:rsidRPr="006274BA">
        <w:rPr>
          <w:rFonts w:eastAsiaTheme="minorEastAsia"/>
          <w:b/>
          <w:bCs/>
          <w:color w:val="000000" w:themeColor="text1"/>
          <w:kern w:val="24"/>
        </w:rPr>
        <w:t xml:space="preserve">biologiczne </w:t>
      </w:r>
      <w:r w:rsidRPr="006274BA">
        <w:rPr>
          <w:rFonts w:eastAsiaTheme="minorEastAsia"/>
          <w:color w:val="000000" w:themeColor="text1"/>
          <w:kern w:val="24"/>
        </w:rPr>
        <w:t>lub cielesne (m.in. płeć, wiek, kolor skóry, choroby somatyczne, niepełnosprawność fizyczna),</w:t>
      </w:r>
    </w:p>
    <w:p w:rsidR="00530CA4" w:rsidRPr="006274BA" w:rsidRDefault="00530CA4" w:rsidP="006274BA">
      <w:pPr>
        <w:pStyle w:val="Akapitzlist"/>
        <w:numPr>
          <w:ilvl w:val="0"/>
          <w:numId w:val="1"/>
        </w:numPr>
        <w:spacing w:line="360" w:lineRule="auto"/>
        <w:jc w:val="both"/>
        <w:rPr>
          <w:color w:val="2DA2BF"/>
        </w:rPr>
      </w:pPr>
      <w:r w:rsidRPr="006274BA">
        <w:rPr>
          <w:rFonts w:eastAsiaTheme="minorEastAsia"/>
          <w:color w:val="000000" w:themeColor="text1"/>
          <w:kern w:val="24"/>
        </w:rPr>
        <w:t xml:space="preserve"> </w:t>
      </w:r>
      <w:r w:rsidRPr="006274BA">
        <w:rPr>
          <w:rFonts w:eastAsiaTheme="minorEastAsia"/>
          <w:b/>
          <w:bCs/>
          <w:color w:val="000000" w:themeColor="text1"/>
          <w:kern w:val="24"/>
        </w:rPr>
        <w:t xml:space="preserve">psychiczne </w:t>
      </w:r>
      <w:r w:rsidRPr="006274BA">
        <w:rPr>
          <w:rFonts w:eastAsiaTheme="minorEastAsia"/>
          <w:color w:val="000000" w:themeColor="text1"/>
          <w:kern w:val="24"/>
        </w:rPr>
        <w:t xml:space="preserve">(m.in. temperament, osobowość, choroby psychiczne, niepełnosprawność psychiczna), </w:t>
      </w:r>
    </w:p>
    <w:p w:rsidR="00530CA4" w:rsidRPr="006274BA" w:rsidRDefault="00530CA4" w:rsidP="006274BA">
      <w:pPr>
        <w:pStyle w:val="Akapitzlist"/>
        <w:numPr>
          <w:ilvl w:val="0"/>
          <w:numId w:val="1"/>
        </w:numPr>
        <w:spacing w:line="360" w:lineRule="auto"/>
        <w:jc w:val="both"/>
        <w:rPr>
          <w:color w:val="2DA2BF"/>
        </w:rPr>
      </w:pPr>
      <w:r w:rsidRPr="006274BA">
        <w:rPr>
          <w:rFonts w:eastAsiaTheme="minorEastAsia"/>
          <w:b/>
          <w:bCs/>
          <w:color w:val="000000" w:themeColor="text1"/>
          <w:kern w:val="24"/>
        </w:rPr>
        <w:t xml:space="preserve">sytuacyjne </w:t>
      </w:r>
      <w:r w:rsidRPr="006274BA">
        <w:rPr>
          <w:rFonts w:eastAsiaTheme="minorEastAsia"/>
          <w:color w:val="000000" w:themeColor="text1"/>
          <w:kern w:val="24"/>
        </w:rPr>
        <w:t xml:space="preserve">(m.in. jest zatrudniony, posiada dzieci, posiada mieszkanie, mieszka w dużym mieście), </w:t>
      </w:r>
    </w:p>
    <w:p w:rsidR="00530CA4" w:rsidRPr="006274BA" w:rsidRDefault="00530CA4" w:rsidP="006274BA">
      <w:pPr>
        <w:pStyle w:val="Akapitzlist"/>
        <w:numPr>
          <w:ilvl w:val="0"/>
          <w:numId w:val="1"/>
        </w:numPr>
        <w:spacing w:line="360" w:lineRule="auto"/>
        <w:jc w:val="both"/>
        <w:rPr>
          <w:color w:val="2DA2BF"/>
        </w:rPr>
      </w:pPr>
      <w:r w:rsidRPr="006274BA">
        <w:rPr>
          <w:rFonts w:eastAsiaTheme="minorEastAsia"/>
          <w:b/>
          <w:bCs/>
          <w:color w:val="000000" w:themeColor="text1"/>
          <w:kern w:val="24"/>
        </w:rPr>
        <w:t xml:space="preserve">subiektywne </w:t>
      </w:r>
      <w:r w:rsidRPr="006274BA">
        <w:rPr>
          <w:rFonts w:eastAsiaTheme="minorEastAsia"/>
          <w:color w:val="000000" w:themeColor="text1"/>
          <w:kern w:val="24"/>
        </w:rPr>
        <w:t xml:space="preserve">(m.in. postawy, poglądy, odczucia wobec sytuacji swojej i/lub sytuacji innych), </w:t>
      </w:r>
    </w:p>
    <w:p w:rsidR="00530CA4" w:rsidRPr="006274BA" w:rsidRDefault="00530CA4" w:rsidP="006274BA">
      <w:pPr>
        <w:pStyle w:val="Akapitzlist"/>
        <w:numPr>
          <w:ilvl w:val="0"/>
          <w:numId w:val="1"/>
        </w:numPr>
        <w:spacing w:line="360" w:lineRule="auto"/>
        <w:jc w:val="both"/>
        <w:rPr>
          <w:color w:val="2DA2BF"/>
        </w:rPr>
      </w:pPr>
      <w:r w:rsidRPr="006274BA">
        <w:rPr>
          <w:rFonts w:eastAsiaTheme="minorEastAsia"/>
          <w:b/>
          <w:bCs/>
          <w:color w:val="000000" w:themeColor="text1"/>
          <w:kern w:val="24"/>
        </w:rPr>
        <w:t xml:space="preserve">związane z aktywnością </w:t>
      </w:r>
      <w:r w:rsidRPr="006274BA">
        <w:rPr>
          <w:rFonts w:eastAsiaTheme="minorEastAsia"/>
          <w:color w:val="000000" w:themeColor="text1"/>
          <w:kern w:val="24"/>
        </w:rPr>
        <w:t xml:space="preserve">(m.in. pracuje, szuka pracy, brał udział w wyborach, zgłosił się do urzędu pracy), </w:t>
      </w:r>
    </w:p>
    <w:p w:rsidR="00530CA4" w:rsidRPr="006274BA" w:rsidRDefault="00530CA4" w:rsidP="006274BA">
      <w:pPr>
        <w:pStyle w:val="Akapitzlist"/>
        <w:numPr>
          <w:ilvl w:val="0"/>
          <w:numId w:val="1"/>
        </w:numPr>
        <w:spacing w:line="360" w:lineRule="auto"/>
        <w:jc w:val="both"/>
        <w:rPr>
          <w:color w:val="2DA2BF"/>
        </w:rPr>
      </w:pPr>
      <w:r w:rsidRPr="006274BA">
        <w:rPr>
          <w:rFonts w:eastAsiaTheme="minorEastAsia"/>
          <w:b/>
          <w:bCs/>
          <w:color w:val="000000" w:themeColor="text1"/>
          <w:kern w:val="24"/>
        </w:rPr>
        <w:t xml:space="preserve">społeczne </w:t>
      </w:r>
      <w:r w:rsidRPr="006274BA">
        <w:rPr>
          <w:rFonts w:eastAsiaTheme="minorEastAsia"/>
          <w:color w:val="000000" w:themeColor="text1"/>
          <w:kern w:val="24"/>
        </w:rPr>
        <w:t>(m.in. jakie postawy poglądy i odczucia żywią inni o nas, sieć kontaktów z innymi).</w:t>
      </w:r>
    </w:p>
    <w:p w:rsidR="00530CA4" w:rsidRPr="006274BA" w:rsidRDefault="00530CA4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A35010" w:rsidRPr="006274BA" w:rsidRDefault="00A35010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Bardzo szerok</w:t>
      </w:r>
      <w:r w:rsidR="00AD2309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 katalog właściwości oraz postę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powań ludzkich, powoduje konieczność stworzenia w ramach  funkcjonujących instytucj</w:t>
      </w:r>
      <w:r w:rsidR="003E6FF7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 p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aństwowych, samorządowych oraz 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pozarządowych </w:t>
      </w:r>
      <w:r w:rsidR="00530CA4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modelu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działań, powodujących aktywizację społeczną obywateli oraz </w:t>
      </w:r>
      <w:r w:rsidR="00530CA4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czynności zapobiegających wykluczeniu społecznemu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:rsidR="00AD2309" w:rsidRPr="006274BA" w:rsidRDefault="0052012A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Poradnictwo Prawne i Obywatelskie upatruje swoją szansę możliwości współdziałania w ramach 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Polityka Promowania Integracji oraz Polityki Zapobiegania Wykluczeniu.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52012A" w:rsidRPr="006274BA" w:rsidRDefault="0052012A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Prowadzona przez samorządy </w:t>
      </w:r>
      <w:r w:rsidR="00AD2309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polityka zabezpieczenia s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połecznego </w:t>
      </w:r>
      <w:r w:rsidR="00AD2309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(MOPS, GOPS  i inne), jak również polityka rynku p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racy</w:t>
      </w:r>
      <w:r w:rsidR="00AD2309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(PUP ), daje możliwo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ść 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racjonalnego wykorzystania dla potrzeb obywateli dostępu do wiedzy prawniczej, nieosiągalnej w tak znacz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n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ym stopniu dla lokalnej społeczności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,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bez 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konieczności 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ponoszenia przez obywateli wydatków. </w:t>
      </w:r>
    </w:p>
    <w:p w:rsidR="0052012A" w:rsidRPr="006274BA" w:rsidRDefault="0052012A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A35010" w:rsidRPr="006274BA" w:rsidRDefault="00A35010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Bezpłatne poradnictwo prawne i obywatelskie, funkcjonujące w ramach projektu „Mam Prawo”</w:t>
      </w:r>
      <w:r w:rsidR="00663EB8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idealnie komponuje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się w </w:t>
      </w:r>
      <w:r w:rsidR="00C558B6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mechanizmy prowadzonej polityki społecznej na terenach powiatów objętych projektem, stanowiąc dodatkowe źródło edukacji, wiedzy oraz rozwoju postaw obywatelskich w lokalnych społecznościach.</w:t>
      </w:r>
    </w:p>
    <w:p w:rsidR="0052012A" w:rsidRPr="006274BA" w:rsidRDefault="00663EB8" w:rsidP="006274BA">
      <w:pPr>
        <w:spacing w:before="80" w:after="0" w:line="360" w:lineRule="auto"/>
        <w:ind w:right="10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 celu aktywizacji społecznej, powodujących uczestnictwo jednostki, konieczne jest spełni</w:t>
      </w:r>
      <w:r w:rsidR="0052012A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enie kilku czynników, dających gwarancję efektu. </w:t>
      </w:r>
    </w:p>
    <w:p w:rsidR="0052012A" w:rsidRPr="006274BA" w:rsidRDefault="00A35010" w:rsidP="006274BA">
      <w:pPr>
        <w:spacing w:before="80" w:after="0" w:line="360" w:lineRule="auto"/>
        <w:ind w:right="101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Pierwszym krokiem do pełnej aktywizacji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jest zdobycie </w:t>
      </w:r>
      <w:r w:rsidR="00C558B6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dostępu do określonych zasobów, a następnie zdobycie dostępu do określonej instytucji. </w:t>
      </w:r>
    </w:p>
    <w:p w:rsidR="005E6F7D" w:rsidRPr="006274BA" w:rsidRDefault="00C558B6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Już sama nazwa projektu oraz podstawowe 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jego 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założenia wskazują, 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że program został stworzony z myślą o obywatelach i dostosowany do szerokiego wachlarza potrzeb mieszkańców. Jest to  powszechne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ogólnodostępne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dla mieszkańców po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wiatów objętych źródło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aktualne wiedzy prawnej. Obywatel nie tylko może dowiedzieć się jakie regulacje prawne dotyczą jego konkretnego przypadku, ale przede wszystkim uzyskuje wskazówki oraz sposoby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jak nowo zdobytą wiedzę wykorzystać i w jaki kierunku podążać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 Ma to niebagatelne znaczenie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wobec osób, które mają pierwszy raz do czynienia z wymiarem sprawiedliwości czy też postępowaniami prze organami państwowymi.</w:t>
      </w:r>
      <w:r w:rsidR="008F5190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Poradnictwo w tym zakresie staje się rów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nież instytucją wspierającą proces aktywnego uczestnictwa 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obywatela w 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problemach jego dotyczących. D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aje możliwość wskazania sposobów reakcji przez klientów na zagrożenia oraz pozwala rozwiewać wątpliwości z jakimi obywatel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zgłosi się do doradców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5751F0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Poradnictwo Prawne i Obywatelskie, to nie tylko działanie „objawowe” – reakcja na przedstawiony problem, ale przede wszystkim edukacja i podnoszenie świadomości prawnej i obywatelskiej Polaków. </w:t>
      </w:r>
    </w:p>
    <w:p w:rsidR="00C558B6" w:rsidRPr="006274BA" w:rsidRDefault="008F5190" w:rsidP="006274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Ponadto 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Poradnictwo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Prawne i Obywatelskie  jako jeden z celów swojej działalności 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pobudzenie klientów do samodzielnego działania. Doradca nie podejmuje decyzji za klienta, podaje tylko możliwość rozwiązania problemu. Klient sam dokonuje wyboru. Jeżeli tylko klient wykaże się ostatnią 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konieczną 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cechą pełnego uczestnictwa, a więc wolą działania, sens prowadzenia działa</w:t>
      </w:r>
      <w:r w:rsidR="005E6F7D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lności biura oraz potrzeba 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współtworzenia polityki społecznej mającej na celu walkę z wykluczeniem społecznym należy uznać za uzasadnioną.</w:t>
      </w:r>
    </w:p>
    <w:p w:rsidR="005D4976" w:rsidRPr="006274BA" w:rsidRDefault="005D4976" w:rsidP="006274BA">
      <w:pPr>
        <w:spacing w:before="80" w:after="0" w:line="360" w:lineRule="auto"/>
        <w:ind w:left="1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4BA">
        <w:rPr>
          <w:rFonts w:ascii="Times New Roman" w:eastAsia="Times New Roman" w:hAnsi="Times New Roman" w:cs="Times New Roman"/>
          <w:sz w:val="24"/>
          <w:szCs w:val="24"/>
          <w:lang w:eastAsia="pl-PL"/>
        </w:rPr>
        <w:t>Cele nadrzędne polityki społecznej poszczególnych jednostek samorządów są precyzyjnie określone. Nadrzędnym celem jest poprawa warunków i jakości życia mieszkańców.</w:t>
      </w:r>
    </w:p>
    <w:p w:rsidR="005D4976" w:rsidRPr="006274BA" w:rsidRDefault="005D4976" w:rsidP="006274BA">
      <w:pPr>
        <w:spacing w:before="80" w:after="0" w:line="360" w:lineRule="auto"/>
        <w:ind w:left="1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Jednym z tych celów jest 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zwiększenie potencjału organizacji pozarządowych i wsparcie ich współpracy z innymi instytucjami.  Projekt „Mam Prawo” jest idealną okazją do stworzenia i wypracowania modelowych rozwiązań  wielopłaszczyznowej współpracy  organizacji pozarządowej z organami administracji publicznej . </w:t>
      </w:r>
    </w:p>
    <w:p w:rsidR="005D4976" w:rsidRPr="006274BA" w:rsidRDefault="005D4976" w:rsidP="006274B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pl-PL"/>
        </w:rPr>
      </w:pPr>
    </w:p>
    <w:p w:rsidR="004B7D2E" w:rsidRPr="006274BA" w:rsidRDefault="004B7D2E" w:rsidP="006274BA">
      <w:pPr>
        <w:spacing w:line="360" w:lineRule="auto"/>
        <w:jc w:val="both"/>
        <w:rPr>
          <w:rFonts w:ascii="Times New Roman" w:hAnsi="Times New Roman" w:cs="Times New Roman"/>
          <w:color w:val="2DA2BF"/>
          <w:sz w:val="24"/>
          <w:szCs w:val="24"/>
        </w:rPr>
      </w:pPr>
    </w:p>
    <w:p w:rsidR="004B7D2E" w:rsidRDefault="004B7D2E" w:rsidP="006274BA">
      <w:pPr>
        <w:spacing w:before="80" w:after="0" w:line="360" w:lineRule="auto"/>
        <w:ind w:left="173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</w:pP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·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Podsumowując</w:t>
      </w:r>
      <w:r w:rsidR="003E6FF7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,</w:t>
      </w:r>
      <w:r w:rsidR="0021123F"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r</w:t>
      </w:r>
      <w:r w:rsidRPr="006274B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ealizowane na odpowiednim poziomie prawa społeczne o pełnym zakresie przedmiotowym i podmiotowym powinny zapewnić każdemu dostęp do szeroko rozumianych zasobów (materialnych i niematerialnych), co umożliwia uczestnictwo w ważnych instytucjach społecznych</w:t>
      </w:r>
      <w:r w:rsidRPr="006274B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, </w:t>
      </w:r>
      <w:r w:rsidRPr="006274B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a także chroni ludzi przed ubóstwem oraz wielowymiarową deprywacją. </w:t>
      </w:r>
      <w:r w:rsidR="005D4976" w:rsidRPr="006274B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Poradnictwo prawne i obywatelskie jest idealnym </w:t>
      </w:r>
      <w:r w:rsidR="003E6FF7" w:rsidRPr="006274B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sposobem do zapewnienia wysokiej jakości narzędzia </w:t>
      </w:r>
      <w:r w:rsidR="005D4976" w:rsidRPr="006274B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realizacji praw społecznych. </w:t>
      </w:r>
    </w:p>
    <w:p w:rsidR="006274BA" w:rsidRDefault="006274BA" w:rsidP="006274BA">
      <w:pPr>
        <w:spacing w:before="80" w:after="0" w:line="360" w:lineRule="auto"/>
        <w:ind w:left="173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</w:pPr>
    </w:p>
    <w:p w:rsidR="006274BA" w:rsidRDefault="006274BA" w:rsidP="006274BA">
      <w:pPr>
        <w:spacing w:before="80" w:after="0" w:line="360" w:lineRule="auto"/>
        <w:ind w:left="173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 xml:space="preserve">Opracował </w:t>
      </w:r>
    </w:p>
    <w:p w:rsidR="006274BA" w:rsidRPr="006274BA" w:rsidRDefault="006274BA" w:rsidP="006274BA">
      <w:pPr>
        <w:spacing w:before="80" w:after="0" w:line="360" w:lineRule="auto"/>
        <w:ind w:left="173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Bartosz Głowacki</w:t>
      </w:r>
      <w:bookmarkStart w:id="0" w:name="_GoBack"/>
      <w:bookmarkEnd w:id="0"/>
    </w:p>
    <w:p w:rsidR="00EA63B4" w:rsidRPr="006274BA" w:rsidRDefault="00EA63B4" w:rsidP="006274BA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EA63B4" w:rsidRPr="006274BA" w:rsidRDefault="003E6FF7" w:rsidP="006274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4BA">
        <w:rPr>
          <w:rFonts w:ascii="Times New Roman" w:hAnsi="Times New Roman" w:cs="Times New Roman"/>
          <w:sz w:val="24"/>
          <w:szCs w:val="24"/>
        </w:rPr>
        <w:t>Autor przy realizacji niniejszego opracowania korzystał z</w:t>
      </w:r>
      <w:r w:rsidR="005751F0" w:rsidRPr="006274BA">
        <w:rPr>
          <w:rFonts w:ascii="Times New Roman" w:hAnsi="Times New Roman" w:cs="Times New Roman"/>
          <w:sz w:val="24"/>
          <w:szCs w:val="24"/>
        </w:rPr>
        <w:t xml:space="preserve">: </w:t>
      </w:r>
      <w:r w:rsidRPr="006274BA">
        <w:rPr>
          <w:rFonts w:ascii="Times New Roman" w:hAnsi="Times New Roman" w:cs="Times New Roman"/>
          <w:sz w:val="24"/>
          <w:szCs w:val="24"/>
        </w:rPr>
        <w:t xml:space="preserve"> „Marginalizacja i wykluczenie społeczne wykłady „ aut. </w:t>
      </w:r>
      <w:r w:rsidR="005751F0" w:rsidRPr="006274BA">
        <w:rPr>
          <w:rFonts w:ascii="Times New Roman" w:hAnsi="Times New Roman" w:cs="Times New Roman"/>
          <w:sz w:val="24"/>
          <w:szCs w:val="24"/>
        </w:rPr>
        <w:t xml:space="preserve">dr. Ryszarda </w:t>
      </w:r>
      <w:proofErr w:type="spellStart"/>
      <w:r w:rsidR="005751F0" w:rsidRPr="006274BA">
        <w:rPr>
          <w:rFonts w:ascii="Times New Roman" w:hAnsi="Times New Roman" w:cs="Times New Roman"/>
          <w:sz w:val="24"/>
          <w:szCs w:val="24"/>
        </w:rPr>
        <w:t>Szarfenberg</w:t>
      </w:r>
      <w:proofErr w:type="spellEnd"/>
      <w:r w:rsidR="005751F0" w:rsidRPr="006274BA">
        <w:rPr>
          <w:rFonts w:ascii="Times New Roman" w:hAnsi="Times New Roman" w:cs="Times New Roman"/>
          <w:sz w:val="24"/>
          <w:szCs w:val="24"/>
        </w:rPr>
        <w:t>, Warszawa 2006r.</w:t>
      </w:r>
    </w:p>
    <w:sectPr w:rsidR="00EA63B4" w:rsidRPr="006274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BA" w:rsidRDefault="006274BA" w:rsidP="006274BA">
      <w:pPr>
        <w:spacing w:after="0" w:line="240" w:lineRule="auto"/>
      </w:pPr>
      <w:r>
        <w:separator/>
      </w:r>
    </w:p>
  </w:endnote>
  <w:endnote w:type="continuationSeparator" w:id="0">
    <w:p w:rsidR="006274BA" w:rsidRDefault="006274BA" w:rsidP="0062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242823"/>
      <w:docPartObj>
        <w:docPartGallery w:val="Page Numbers (Bottom of Page)"/>
        <w:docPartUnique/>
      </w:docPartObj>
    </w:sdtPr>
    <w:sdtContent>
      <w:p w:rsidR="006274BA" w:rsidRDefault="006274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274BA" w:rsidRDefault="006274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BA" w:rsidRDefault="006274BA" w:rsidP="006274BA">
      <w:pPr>
        <w:spacing w:after="0" w:line="240" w:lineRule="auto"/>
      </w:pPr>
      <w:r>
        <w:separator/>
      </w:r>
    </w:p>
  </w:footnote>
  <w:footnote w:type="continuationSeparator" w:id="0">
    <w:p w:rsidR="006274BA" w:rsidRDefault="006274BA" w:rsidP="0062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B1D"/>
    <w:multiLevelType w:val="hybridMultilevel"/>
    <w:tmpl w:val="A9EEAC2E"/>
    <w:lvl w:ilvl="0" w:tplc="099C12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0873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AC08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3451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34C6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0243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6CE1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6C7A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F27D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E7F4445"/>
    <w:multiLevelType w:val="hybridMultilevel"/>
    <w:tmpl w:val="994EEEAE"/>
    <w:lvl w:ilvl="0" w:tplc="3842B4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72F1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E249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3AA6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FA0C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04D7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B0E1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0074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3857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0B522CF"/>
    <w:multiLevelType w:val="hybridMultilevel"/>
    <w:tmpl w:val="4DFE9FA8"/>
    <w:lvl w:ilvl="0" w:tplc="6CC096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8448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B42F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7C4C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38FD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202D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6C85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A0E4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14BE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0BD6410"/>
    <w:multiLevelType w:val="hybridMultilevel"/>
    <w:tmpl w:val="03A66064"/>
    <w:lvl w:ilvl="0" w:tplc="5FE64F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92C7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C236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A44E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7C05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083E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9E59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42C6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DC76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2E"/>
    <w:rsid w:val="0021123F"/>
    <w:rsid w:val="003E6FF7"/>
    <w:rsid w:val="004B7D2E"/>
    <w:rsid w:val="0052012A"/>
    <w:rsid w:val="00530CA4"/>
    <w:rsid w:val="005751F0"/>
    <w:rsid w:val="005D4976"/>
    <w:rsid w:val="005E6F7D"/>
    <w:rsid w:val="006274BA"/>
    <w:rsid w:val="00663EB8"/>
    <w:rsid w:val="008F5190"/>
    <w:rsid w:val="00A35010"/>
    <w:rsid w:val="00A50638"/>
    <w:rsid w:val="00A55578"/>
    <w:rsid w:val="00AD2309"/>
    <w:rsid w:val="00C558B6"/>
    <w:rsid w:val="00EA63B4"/>
    <w:rsid w:val="00F7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B7D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AD2309"/>
  </w:style>
  <w:style w:type="paragraph" w:styleId="Nagwek">
    <w:name w:val="header"/>
    <w:basedOn w:val="Normalny"/>
    <w:link w:val="NagwekZnak"/>
    <w:uiPriority w:val="99"/>
    <w:unhideWhenUsed/>
    <w:rsid w:val="0062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4BA"/>
  </w:style>
  <w:style w:type="paragraph" w:styleId="Stopka">
    <w:name w:val="footer"/>
    <w:basedOn w:val="Normalny"/>
    <w:link w:val="StopkaZnak"/>
    <w:uiPriority w:val="99"/>
    <w:unhideWhenUsed/>
    <w:rsid w:val="0062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B7D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AD2309"/>
  </w:style>
  <w:style w:type="paragraph" w:styleId="Nagwek">
    <w:name w:val="header"/>
    <w:basedOn w:val="Normalny"/>
    <w:link w:val="NagwekZnak"/>
    <w:uiPriority w:val="99"/>
    <w:unhideWhenUsed/>
    <w:rsid w:val="0062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4BA"/>
  </w:style>
  <w:style w:type="paragraph" w:styleId="Stopka">
    <w:name w:val="footer"/>
    <w:basedOn w:val="Normalny"/>
    <w:link w:val="StopkaZnak"/>
    <w:uiPriority w:val="99"/>
    <w:unhideWhenUsed/>
    <w:rsid w:val="0062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2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5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6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2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6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2011-11-03T10:16:00Z</dcterms:created>
  <dcterms:modified xsi:type="dcterms:W3CDTF">2011-11-03T10:16:00Z</dcterms:modified>
</cp:coreProperties>
</file>