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Times New Roman" w:cs="Times New Roman" w:hAnsi="Times New Roman"/>
          <w:b/>
          <w:i/>
          <w:sz w:val="28"/>
          <w:szCs w:val="28"/>
        </w:rPr>
        <w:t>Zmiany w polskim prawie spadkowym – zapis windykacyjny</w:t>
      </w:r>
      <w:r>
        <w:rPr>
          <w:rFonts w:ascii="Times New Roman" w:cs="Times New Roman" w:hAnsi="Times New Roman"/>
          <w:b/>
          <w:sz w:val="28"/>
          <w:szCs w:val="28"/>
        </w:rPr>
        <w:t xml:space="preserve"> </w:t>
      </w:r>
    </w:p>
    <w:p>
      <w:pPr>
        <w:pStyle w:val="style0"/>
      </w:pPr>
      <w:r>
        <w:rPr>
          <w:rFonts w:ascii="Times New Roman" w:cs="Times New Roman" w:hAnsi="Times New Roman"/>
          <w:b/>
          <w:sz w:val="24"/>
          <w:szCs w:val="24"/>
        </w:rPr>
        <w:t>Redakcja Kwartalnika ,,Mam prawo”.</w:t>
      </w:r>
    </w:p>
    <w:p>
      <w:pPr>
        <w:pStyle w:val="style0"/>
        <w:spacing w:line="360" w:lineRule="auto"/>
      </w:pPr>
      <w:r>
        <w:rPr/>
      </w:r>
    </w:p>
    <w:p>
      <w:pPr>
        <w:pStyle w:val="style0"/>
        <w:spacing w:line="360" w:lineRule="auto"/>
      </w:pPr>
      <w:r>
        <w:rPr>
          <w:rFonts w:ascii="Times New Roman" w:cs="Times New Roman" w:hAnsi="Times New Roman"/>
          <w:b/>
          <w:sz w:val="24"/>
          <w:szCs w:val="24"/>
        </w:rPr>
        <w:t xml:space="preserve">W 2011r. w wyniku nowelizacji Kodeksu Cywilnego nastąpiła prawdziwa rewolucja w dziedziczeniu. Wprowadzono bowiem dotychczas niespotykane w polskim prawie spadkowym rozwiązanie – zapis windykacyjny. Teraz będzie można wskazać </w:t>
        <w:br/>
        <w:t>w testamencie osobę, która ma otrzymać konkretną część naszego majątku</w:t>
      </w:r>
      <w:r>
        <w:rPr>
          <w:rFonts w:ascii="Times New Roman" w:cs="Times New Roman" w:hAnsi="Times New Roman"/>
          <w:sz w:val="24"/>
          <w:szCs w:val="24"/>
        </w:rPr>
        <w:t xml:space="preserve"> </w:t>
      </w:r>
      <w:r>
        <w:rPr>
          <w:rFonts w:ascii="Times New Roman" w:cs="Times New Roman" w:hAnsi="Times New Roman"/>
          <w:b/>
          <w:sz w:val="24"/>
          <w:szCs w:val="24"/>
        </w:rPr>
        <w:t>z chwilą otwarcia spadku, to jest z momentem śmierci spadkodawcy. Bez zbędnych formalności i wieloletniego postępowania spadkowego. Do tej pory było to niemożliwe.</w:t>
      </w:r>
    </w:p>
    <w:p>
      <w:pPr>
        <w:pStyle w:val="style0"/>
        <w:spacing w:line="360" w:lineRule="auto"/>
      </w:pPr>
      <w:r>
        <w:rPr/>
      </w:r>
    </w:p>
    <w:p>
      <w:pPr>
        <w:pStyle w:val="style0"/>
        <w:spacing w:line="360" w:lineRule="auto"/>
      </w:pPr>
      <w:r>
        <w:rPr>
          <w:rFonts w:ascii="Times New Roman" w:cs="Times New Roman" w:hAnsi="Times New Roman"/>
          <w:b/>
          <w:sz w:val="28"/>
          <w:szCs w:val="28"/>
        </w:rPr>
        <w:t>Zapis windykacyjny</w:t>
      </w:r>
    </w:p>
    <w:p>
      <w:pPr>
        <w:pStyle w:val="style0"/>
        <w:spacing w:line="360" w:lineRule="auto"/>
      </w:pPr>
      <w:r>
        <w:rPr>
          <w:rFonts w:ascii="Times New Roman" w:cs="Times New Roman" w:hAnsi="Times New Roman"/>
          <w:sz w:val="24"/>
          <w:szCs w:val="24"/>
        </w:rPr>
        <w:t xml:space="preserve">23 października 2011r. w wyniku nowelizacji Kodeksu Cywilnego wszedł w życie </w:t>
      </w:r>
      <w:r>
        <w:rPr>
          <w:rFonts w:ascii="Times New Roman" w:cs="Times New Roman" w:hAnsi="Times New Roman"/>
          <w:b/>
          <w:sz w:val="24"/>
          <w:szCs w:val="24"/>
        </w:rPr>
        <w:t xml:space="preserve">zapis windykacyjny. </w:t>
      </w:r>
      <w:r>
        <w:rPr>
          <w:rFonts w:ascii="Times New Roman" w:cs="Times New Roman" w:hAnsi="Times New Roman"/>
          <w:sz w:val="24"/>
          <w:szCs w:val="24"/>
        </w:rPr>
        <w:t xml:space="preserve">Wprowadził on istotne zmiany w procesie dziedziczenia, usuwając przeszkody związane z zapisaniem w testamencie przez spadkodawcę wybranemu przez siebie spadkobiercy konkretnego składnika majątku. Dotychczas bowiem sporządzając testament nie można było wskazać, że na przykład syn ma odziedziczyć mieszkanie, a córka samochód i działkę za miastem. W przypadku zaistnienia w/w sytuacji, pomimo istnienia zapisów w testamencie wskazujących, jakie składniki majątku mają przypaść osobom powołanym do spadku, spadkobiercy i tak nabywali wspólnie wszystkie składniki majątku, stanowiące spadek, a ich udział w spadku był określany w formie ułamka. Dodatkowo, aby otrzymać spadek po zmarłym spadkodawcy koniecznym było przeprowadzenie postępowania sądowego o nabycie spadku, a później dokonanie podziału spadku tj. określenie, </w:t>
        <w:br/>
        <w:t>które składniki ma otrzymać każdy z spadkodawców. W takich sytuacjach często dochodziło do sporów, a postępowania sądowe ciągnęły się latami.</w:t>
      </w:r>
    </w:p>
    <w:p>
      <w:pPr>
        <w:pStyle w:val="style0"/>
        <w:spacing w:line="360" w:lineRule="auto"/>
      </w:pPr>
      <w:r>
        <w:rPr>
          <w:rFonts w:ascii="Times New Roman" w:cs="Times New Roman" w:hAnsi="Times New Roman"/>
          <w:sz w:val="24"/>
          <w:szCs w:val="24"/>
        </w:rPr>
        <w:t xml:space="preserve"> </w:t>
      </w:r>
    </w:p>
    <w:p>
      <w:pPr>
        <w:pStyle w:val="style0"/>
        <w:spacing w:line="360" w:lineRule="auto"/>
      </w:pPr>
      <w:r>
        <w:rPr>
          <w:rFonts w:ascii="Times New Roman" w:cs="Times New Roman" w:hAnsi="Times New Roman"/>
          <w:sz w:val="24"/>
          <w:szCs w:val="24"/>
        </w:rPr>
        <w:t xml:space="preserve">Dlatego też polski ustawodawca postanowił zmienić ten stan rzeczy i wprowadził do prawa spadkowego nowe rozwiązanie w postaci </w:t>
      </w:r>
      <w:r>
        <w:rPr>
          <w:rFonts w:ascii="Times New Roman" w:cs="Times New Roman" w:hAnsi="Times New Roman"/>
          <w:b/>
          <w:sz w:val="24"/>
          <w:szCs w:val="24"/>
        </w:rPr>
        <w:t>zapisu windykacyjnego.</w:t>
      </w:r>
      <w:r>
        <w:rPr>
          <w:rFonts w:ascii="Times New Roman" w:cs="Times New Roman" w:hAnsi="Times New Roman"/>
          <w:sz w:val="24"/>
          <w:szCs w:val="24"/>
        </w:rPr>
        <w:t xml:space="preserve"> Pozwala ono uregulować sprawy spadkowe zgodnie z interesem spadkodawcy.</w:t>
      </w:r>
      <w:r>
        <w:rPr>
          <w:rFonts w:ascii="Times New Roman" w:cs="Times New Roman" w:hAnsi="Times New Roman"/>
          <w:b/>
          <w:sz w:val="24"/>
          <w:szCs w:val="24"/>
        </w:rPr>
        <w:t xml:space="preserve"> Od wejścia w życie nowych przepisów spadkodawca może wskazać konkretną osobę, która po jego śmierci otrzyma konkretny przedmiot majątkowy. Osoba ta nabywa przedmiot zapisu windykacyjnego z chwilą otwarcia spadku. </w:t>
      </w:r>
    </w:p>
    <w:p>
      <w:pPr>
        <w:pStyle w:val="style0"/>
        <w:spacing w:line="360" w:lineRule="auto"/>
      </w:pPr>
      <w:r>
        <w:rPr/>
      </w:r>
    </w:p>
    <w:p>
      <w:pPr>
        <w:pStyle w:val="style0"/>
        <w:spacing w:line="360" w:lineRule="auto"/>
      </w:pPr>
      <w:r>
        <w:rPr>
          <w:rFonts w:ascii="Times New Roman" w:cs="Times New Roman" w:hAnsi="Times New Roman"/>
          <w:b/>
          <w:sz w:val="24"/>
          <w:szCs w:val="24"/>
        </w:rPr>
        <w:t xml:space="preserve">Aby jednak tak się stało, należy spełnić istotny warunek. Zapis windykacyjny musi być zapisany w testamencie, który zostanie sporządzony w formie aktu notarialnego. </w:t>
        <w:br/>
        <w:t>A wszystko to aby uniknąć ewentualnych sporów – zapis windykacyjny musi bowiem być precyzyjny i nie budzić żadnych wątpliwości pod względem prawnym.</w:t>
      </w:r>
    </w:p>
    <w:p>
      <w:pPr>
        <w:pStyle w:val="style0"/>
        <w:spacing w:line="360" w:lineRule="auto"/>
      </w:pPr>
      <w:r>
        <w:rPr/>
      </w:r>
    </w:p>
    <w:p>
      <w:pPr>
        <w:pStyle w:val="style0"/>
        <w:spacing w:line="360" w:lineRule="auto"/>
      </w:pPr>
      <w:r>
        <w:rPr/>
      </w:r>
    </w:p>
    <w:p>
      <w:pPr>
        <w:pStyle w:val="style0"/>
        <w:spacing w:line="360" w:lineRule="auto"/>
      </w:pPr>
      <w:r>
        <w:rPr>
          <w:rFonts w:ascii="Times New Roman" w:cs="Times New Roman" w:hAnsi="Times New Roman"/>
          <w:b/>
          <w:sz w:val="28"/>
          <w:szCs w:val="28"/>
        </w:rPr>
        <w:t>Przedmiot zapisu windykacyjnego.</w:t>
      </w:r>
    </w:p>
    <w:p>
      <w:pPr>
        <w:pStyle w:val="style0"/>
        <w:spacing w:line="360" w:lineRule="auto"/>
      </w:pPr>
      <w:r>
        <w:rPr>
          <w:rFonts w:ascii="Times New Roman" w:cs="Times New Roman" w:hAnsi="Times New Roman"/>
          <w:b/>
          <w:sz w:val="24"/>
          <w:szCs w:val="24"/>
        </w:rPr>
        <w:t>Przedmiotem zapisu windykacyjnego mogą być:</w:t>
      </w:r>
    </w:p>
    <w:p>
      <w:pPr>
        <w:pStyle w:val="style27"/>
        <w:numPr>
          <w:ilvl w:val="0"/>
          <w:numId w:val="1"/>
        </w:numPr>
        <w:spacing w:line="360" w:lineRule="auto"/>
      </w:pPr>
      <w:r>
        <w:rPr>
          <w:rFonts w:ascii="Times New Roman" w:cs="Times New Roman" w:hAnsi="Times New Roman"/>
          <w:b/>
          <w:sz w:val="24"/>
          <w:szCs w:val="24"/>
        </w:rPr>
        <w:t>rzeczy oznaczone co do tożsamości;</w:t>
      </w:r>
    </w:p>
    <w:p>
      <w:pPr>
        <w:pStyle w:val="style27"/>
        <w:numPr>
          <w:ilvl w:val="0"/>
          <w:numId w:val="1"/>
        </w:numPr>
        <w:spacing w:line="360" w:lineRule="auto"/>
      </w:pPr>
      <w:r>
        <w:rPr>
          <w:rFonts w:ascii="Times New Roman" w:cs="Times New Roman" w:hAnsi="Times New Roman"/>
          <w:b/>
          <w:sz w:val="24"/>
          <w:szCs w:val="24"/>
        </w:rPr>
        <w:t>nieruchomości;</w:t>
      </w:r>
    </w:p>
    <w:p>
      <w:pPr>
        <w:pStyle w:val="style27"/>
        <w:numPr>
          <w:ilvl w:val="0"/>
          <w:numId w:val="1"/>
        </w:numPr>
        <w:spacing w:line="360" w:lineRule="auto"/>
      </w:pPr>
      <w:r>
        <w:rPr>
          <w:rFonts w:ascii="Times New Roman" w:cs="Times New Roman" w:hAnsi="Times New Roman"/>
          <w:b/>
          <w:sz w:val="24"/>
          <w:szCs w:val="24"/>
        </w:rPr>
        <w:t>gospodarstwo rolne;</w:t>
      </w:r>
    </w:p>
    <w:p>
      <w:pPr>
        <w:pStyle w:val="style27"/>
        <w:numPr>
          <w:ilvl w:val="0"/>
          <w:numId w:val="1"/>
        </w:numPr>
        <w:spacing w:line="360" w:lineRule="auto"/>
      </w:pPr>
      <w:r>
        <w:rPr>
          <w:rFonts w:ascii="Times New Roman" w:cs="Times New Roman" w:hAnsi="Times New Roman"/>
          <w:b/>
          <w:sz w:val="24"/>
          <w:szCs w:val="24"/>
        </w:rPr>
        <w:t>przedsiębiorstwo;</w:t>
      </w:r>
    </w:p>
    <w:p>
      <w:pPr>
        <w:pStyle w:val="style27"/>
        <w:numPr>
          <w:ilvl w:val="0"/>
          <w:numId w:val="1"/>
        </w:numPr>
        <w:spacing w:line="360" w:lineRule="auto"/>
      </w:pPr>
      <w:r>
        <w:rPr>
          <w:rFonts w:ascii="Times New Roman" w:cs="Times New Roman" w:hAnsi="Times New Roman"/>
          <w:b/>
          <w:sz w:val="24"/>
          <w:szCs w:val="24"/>
        </w:rPr>
        <w:t>papiery wartościowe;</w:t>
      </w:r>
    </w:p>
    <w:p>
      <w:pPr>
        <w:pStyle w:val="style27"/>
        <w:numPr>
          <w:ilvl w:val="0"/>
          <w:numId w:val="1"/>
        </w:numPr>
        <w:spacing w:line="360" w:lineRule="auto"/>
      </w:pPr>
      <w:r>
        <w:rPr>
          <w:rFonts w:ascii="Times New Roman" w:cs="Times New Roman" w:hAnsi="Times New Roman"/>
          <w:b/>
          <w:sz w:val="24"/>
          <w:szCs w:val="24"/>
        </w:rPr>
        <w:t>zbywalne prawa majątkowe.</w:t>
      </w:r>
    </w:p>
    <w:p>
      <w:pPr>
        <w:pStyle w:val="style0"/>
        <w:spacing w:line="360" w:lineRule="auto"/>
      </w:pPr>
      <w:r>
        <w:rPr/>
      </w:r>
    </w:p>
    <w:p>
      <w:pPr>
        <w:pStyle w:val="style0"/>
        <w:spacing w:line="360" w:lineRule="auto"/>
      </w:pPr>
      <w:r>
        <w:rPr>
          <w:rFonts w:ascii="Times New Roman" w:cs="Times New Roman" w:hAnsi="Times New Roman"/>
          <w:sz w:val="24"/>
          <w:szCs w:val="24"/>
        </w:rPr>
        <w:t xml:space="preserve">Spadkodawca może skierować zapis windykacyjny nie tylko do członków swojej rodziny, ale również do osób z nim nie spokrewnionych. </w:t>
      </w:r>
      <w:r>
        <w:rPr>
          <w:rFonts w:ascii="Times New Roman" w:cs="Times New Roman" w:hAnsi="Times New Roman"/>
          <w:b/>
          <w:sz w:val="24"/>
          <w:szCs w:val="24"/>
        </w:rPr>
        <w:t>Co ważne, przedmiot zapisu windykacyjnego w chwili otwarcia spadku</w:t>
      </w:r>
      <w:r>
        <w:rPr>
          <w:rFonts w:ascii="Times New Roman" w:cs="Times New Roman" w:hAnsi="Times New Roman"/>
          <w:sz w:val="24"/>
          <w:szCs w:val="24"/>
        </w:rPr>
        <w:t xml:space="preserve"> </w:t>
      </w:r>
      <w:r>
        <w:rPr>
          <w:rFonts w:ascii="Times New Roman" w:cs="Times New Roman" w:hAnsi="Times New Roman"/>
          <w:b/>
          <w:sz w:val="24"/>
          <w:szCs w:val="24"/>
        </w:rPr>
        <w:t xml:space="preserve">musi należeć do spadkodawcy. </w:t>
      </w:r>
      <w:r>
        <w:rPr>
          <w:rFonts w:ascii="Times New Roman" w:cs="Times New Roman" w:hAnsi="Times New Roman"/>
          <w:sz w:val="24"/>
          <w:szCs w:val="24"/>
        </w:rPr>
        <w:t>W innym przypadku uznaje się taki zapis za bezskuteczny.</w:t>
      </w:r>
    </w:p>
    <w:p>
      <w:pPr>
        <w:pStyle w:val="style0"/>
        <w:spacing w:line="360" w:lineRule="auto"/>
      </w:pPr>
      <w:r>
        <w:rPr/>
      </w:r>
    </w:p>
    <w:p>
      <w:pPr>
        <w:pStyle w:val="style0"/>
        <w:spacing w:line="360" w:lineRule="auto"/>
      </w:pPr>
      <w:r>
        <w:rPr>
          <w:rFonts w:ascii="Times New Roman" w:cs="Times New Roman" w:hAnsi="Times New Roman"/>
          <w:sz w:val="24"/>
          <w:szCs w:val="24"/>
        </w:rPr>
        <w:t xml:space="preserve">Przedmiot zapisu windykacyjnego zostaje wyłączony z masy spadkowej. Oznacza to, że pozostałe składniki majątku, które nie zostały zapisane w formie zapisu windykacyjnego </w:t>
      </w:r>
      <w:r>
        <w:rPr>
          <w:rFonts w:ascii="Times New Roman" w:cs="Times New Roman" w:hAnsi="Times New Roman"/>
          <w:b/>
          <w:sz w:val="24"/>
          <w:szCs w:val="24"/>
        </w:rPr>
        <w:t>podlegają podziałowi w formie dziedziczenia</w:t>
      </w:r>
      <w:r>
        <w:rPr>
          <w:rFonts w:ascii="Times New Roman" w:cs="Times New Roman" w:hAnsi="Times New Roman"/>
          <w:sz w:val="24"/>
          <w:szCs w:val="24"/>
        </w:rPr>
        <w:t xml:space="preserve"> </w:t>
      </w:r>
      <w:r>
        <w:rPr>
          <w:rFonts w:ascii="Times New Roman" w:cs="Times New Roman" w:hAnsi="Times New Roman"/>
          <w:b/>
          <w:sz w:val="24"/>
          <w:szCs w:val="24"/>
        </w:rPr>
        <w:t>między osobami, które zostały powołane do</w:t>
      </w:r>
      <w:r>
        <w:rPr>
          <w:rFonts w:ascii="Times New Roman" w:cs="Times New Roman" w:hAnsi="Times New Roman"/>
          <w:sz w:val="24"/>
          <w:szCs w:val="24"/>
        </w:rPr>
        <w:t xml:space="preserve"> </w:t>
      </w:r>
      <w:r>
        <w:rPr>
          <w:rFonts w:ascii="Times New Roman" w:cs="Times New Roman" w:hAnsi="Times New Roman"/>
          <w:b/>
          <w:sz w:val="24"/>
          <w:szCs w:val="24"/>
        </w:rPr>
        <w:t>spadku</w:t>
      </w:r>
      <w:r>
        <w:rPr>
          <w:rFonts w:ascii="Times New Roman" w:cs="Times New Roman" w:hAnsi="Times New Roman"/>
          <w:sz w:val="24"/>
          <w:szCs w:val="24"/>
        </w:rPr>
        <w:t xml:space="preserve">. Zasada ta dotyczy także osoby, która otrzymała taki zapis - może ona dalej uczestniczyć w procesie dziedziczenia pozostałej części spadku, którą pozostawił testator. </w:t>
      </w:r>
      <w:r>
        <w:rPr>
          <w:rFonts w:ascii="Times New Roman" w:cs="Times New Roman" w:hAnsi="Times New Roman"/>
          <w:b/>
          <w:sz w:val="24"/>
          <w:szCs w:val="24"/>
        </w:rPr>
        <w:t>Zapisobiorca może odrzucić zapis windykacyjny. To ważne, bo czasem zdarza się, że zapis windykacyjny obciążany jest długami. Jeżeli zaistnieje taka sytuacja, należy złożyć oświadczenie o przyjęciu albo odrzuceniu spadku. Musi to nastąpić w terminie sześciu miesięcy od czasu, gdy osoba,</w:t>
      </w:r>
      <w:r>
        <w:rPr>
          <w:rFonts w:ascii="Times New Roman" w:cs="Times New Roman" w:hAnsi="Times New Roman"/>
          <w:sz w:val="24"/>
          <w:szCs w:val="24"/>
        </w:rPr>
        <w:t xml:space="preserve"> </w:t>
      </w:r>
      <w:r>
        <w:rPr>
          <w:rFonts w:ascii="Times New Roman" w:cs="Times New Roman" w:hAnsi="Times New Roman"/>
          <w:b/>
          <w:sz w:val="24"/>
          <w:szCs w:val="24"/>
        </w:rPr>
        <w:t>która ma otrzymać spadek (zapisobiorca) otrzyma informację o spadku.</w:t>
      </w:r>
      <w:r>
        <w:rPr>
          <w:rFonts w:ascii="Times New Roman" w:cs="Times New Roman" w:hAnsi="Times New Roman"/>
          <w:sz w:val="24"/>
          <w:szCs w:val="24"/>
        </w:rPr>
        <w:t xml:space="preserve"> Jeżeli nie zostanie przedstawione takie oświadczenie, wówczas spadek zostaje uznany jako przyjęty. Gdy zaś zaistnieje sytuacja, gdy zapisobiorca nie chce przyjąć zapisu odrzucając go, bądź jest niegodny przyjęcia spadku, albo nie może być zapisobiorcą, gdyż nie dożył otwarcia spadku, wówczas składnik majątku, który został przekazany                    w testamencie nie zostaje wyłączony z masy spadkowej. Następuje wówczas włączenie przedmiotu odrzucanego zapisu do spadku i normalne dziedziczenie.</w:t>
      </w:r>
    </w:p>
    <w:p>
      <w:pPr>
        <w:pStyle w:val="style0"/>
        <w:spacing w:line="360" w:lineRule="auto"/>
      </w:pPr>
      <w:r>
        <w:rPr/>
      </w:r>
    </w:p>
    <w:p>
      <w:pPr>
        <w:pStyle w:val="style0"/>
        <w:spacing w:line="360" w:lineRule="auto"/>
        <w:jc w:val="center"/>
      </w:pPr>
      <w:r>
        <w:rPr/>
      </w:r>
    </w:p>
    <w:p>
      <w:pPr>
        <w:pStyle w:val="style0"/>
        <w:spacing w:line="360" w:lineRule="auto"/>
      </w:pPr>
      <w:r>
        <w:rPr>
          <w:rFonts w:ascii="Times New Roman" w:cs="Times New Roman" w:hAnsi="Times New Roman"/>
          <w:b/>
          <w:sz w:val="28"/>
          <w:szCs w:val="28"/>
        </w:rPr>
        <w:t>Zmiany w przepisach dotyczących przedsiębiorców.</w:t>
      </w:r>
    </w:p>
    <w:p>
      <w:pPr>
        <w:pStyle w:val="style0"/>
        <w:spacing w:line="360" w:lineRule="auto"/>
      </w:pPr>
      <w:r>
        <w:rPr>
          <w:rFonts w:ascii="Times New Roman" w:cs="Times New Roman" w:hAnsi="Times New Roman"/>
          <w:b/>
          <w:sz w:val="24"/>
          <w:szCs w:val="24"/>
        </w:rPr>
        <w:t>Zapis windykacyjny wprowadził także istotną zmianę w przepisach prawa, która odnosi się do przedsiębiorców.</w:t>
      </w:r>
      <w:r>
        <w:rPr>
          <w:rFonts w:ascii="Times New Roman" w:cs="Times New Roman" w:hAnsi="Times New Roman"/>
          <w:sz w:val="24"/>
          <w:szCs w:val="24"/>
        </w:rPr>
        <w:t xml:space="preserve"> </w:t>
      </w:r>
      <w:r>
        <w:rPr>
          <w:rFonts w:ascii="Times New Roman" w:cs="Times New Roman" w:hAnsi="Times New Roman"/>
          <w:b/>
          <w:sz w:val="24"/>
          <w:szCs w:val="24"/>
        </w:rPr>
        <w:t>Ułatwia on przyjęcie firmy po śmierci właściciela</w:t>
      </w:r>
      <w:r>
        <w:rPr>
          <w:rFonts w:ascii="Times New Roman" w:cs="Times New Roman" w:hAnsi="Times New Roman"/>
          <w:sz w:val="24"/>
          <w:szCs w:val="24"/>
        </w:rPr>
        <w:t xml:space="preserve">. Powszechnie wiadomo było, że przez lata w wielu przedsiębiorstwach prowadzone były spory o majątek firmy. Bardzo często powodowało, to liczne problemy takie jak: brak wypłat dla pracowników, brak płatności kontrahentom. </w:t>
      </w:r>
      <w:r>
        <w:rPr>
          <w:rFonts w:ascii="Times New Roman" w:cs="Times New Roman" w:hAnsi="Times New Roman"/>
          <w:b/>
          <w:sz w:val="24"/>
          <w:szCs w:val="24"/>
        </w:rPr>
        <w:t>Ta nowelizacja wprowadziła możliwość wskazania następcy, który ma przejąć firmę</w:t>
      </w:r>
      <w:r>
        <w:rPr>
          <w:rFonts w:ascii="Times New Roman" w:cs="Times New Roman" w:hAnsi="Times New Roman"/>
          <w:sz w:val="24"/>
          <w:szCs w:val="24"/>
        </w:rPr>
        <w:t>. Odbywa się to za pomocą zapisu, bez zawirowań i zbędnych sporów. Firma przechodzi w dobre, zaufane ręce i nadal podtrzymywana jest jej dobra kondycja.</w:t>
      </w:r>
    </w:p>
    <w:p>
      <w:pPr>
        <w:pStyle w:val="style0"/>
        <w:spacing w:line="360" w:lineRule="auto"/>
      </w:pPr>
      <w:r>
        <w:rPr/>
      </w:r>
    </w:p>
    <w:p>
      <w:pPr>
        <w:pStyle w:val="style0"/>
        <w:spacing w:line="360" w:lineRule="auto"/>
      </w:pPr>
      <w:r>
        <w:rPr>
          <w:rFonts w:ascii="Times New Roman" w:cs="Times New Roman" w:hAnsi="Times New Roman"/>
          <w:b/>
          <w:sz w:val="24"/>
          <w:szCs w:val="24"/>
        </w:rPr>
        <w:t xml:space="preserve">Należy wskazać, iż majątek, który jest przekazany zapisem windykacyjnym podlega podatkowi od spadków i darowizn. </w:t>
      </w:r>
      <w:r>
        <w:rPr>
          <w:rFonts w:ascii="Times New Roman" w:cs="Times New Roman" w:hAnsi="Times New Roman"/>
          <w:sz w:val="24"/>
          <w:szCs w:val="24"/>
        </w:rPr>
        <w:t xml:space="preserve">Jednak wykorzystywane są też zwolnienia i ulgi odnośnie tego podatku. Dotyczy to sytuacji gdy zapis windykacyjny otrzyma spadkobierca z kręgu najbliższej rodziny (rodzice, małżonek, dzieci, dziadkowie, wnuki, rodzeństwo, macocha, ojczym, pasierbowie). Aby być zwolnionym od podatku </w:t>
      </w:r>
      <w:r>
        <w:rPr>
          <w:rFonts w:ascii="Times New Roman" w:cs="Times New Roman" w:hAnsi="Times New Roman"/>
          <w:b/>
          <w:sz w:val="24"/>
          <w:szCs w:val="24"/>
        </w:rPr>
        <w:t>od spadków i darowizn</w:t>
      </w:r>
      <w:r>
        <w:rPr>
          <w:rFonts w:ascii="Times New Roman" w:cs="Times New Roman" w:hAnsi="Times New Roman"/>
          <w:sz w:val="24"/>
          <w:szCs w:val="24"/>
        </w:rPr>
        <w:t xml:space="preserve"> należy w ciągu sześciu miesięcy od otrzymania zapisu windykacyjnego, zgłosić ten fakt w urzędzie skarbowym (w przypadku otrzymania masy majątkowej o wartości nie przekraczającej 9 637 złotych, nie ma takiego obowiązku). </w:t>
      </w:r>
    </w:p>
    <w:p>
      <w:pPr>
        <w:pStyle w:val="style0"/>
        <w:spacing w:line="360" w:lineRule="auto"/>
      </w:pPr>
      <w:r>
        <w:rPr/>
      </w:r>
    </w:p>
    <w:p>
      <w:pPr>
        <w:pStyle w:val="style0"/>
        <w:spacing w:line="360" w:lineRule="auto"/>
      </w:pPr>
      <w:r>
        <w:rPr>
          <w:rFonts w:ascii="Times New Roman" w:cs="Times New Roman" w:hAnsi="Times New Roman"/>
          <w:b/>
          <w:sz w:val="24"/>
          <w:szCs w:val="24"/>
        </w:rPr>
        <w:t xml:space="preserve">W sytuacji gdy majątek zostaje przyjęty na podstawie zapisu przez osoby spoza kręgu najbliższej rodziny, wówczas podlega opodatkowaniu podatkiem od spadków                                i darowizn. </w:t>
      </w:r>
      <w:r>
        <w:rPr>
          <w:rFonts w:ascii="Times New Roman" w:cs="Times New Roman" w:hAnsi="Times New Roman"/>
          <w:sz w:val="24"/>
          <w:szCs w:val="24"/>
        </w:rPr>
        <w:t xml:space="preserve">Odbywa się to na takich samych zasadach jak w przypadku zwykłych spadków                i darowizn. </w:t>
      </w:r>
      <w:r>
        <w:rPr>
          <w:rFonts w:ascii="Times New Roman" w:cs="Times New Roman" w:hAnsi="Times New Roman"/>
          <w:b/>
          <w:sz w:val="24"/>
          <w:szCs w:val="24"/>
        </w:rPr>
        <w:t xml:space="preserve">Należy zwrócić uwagę, iż wysokość podatku zależy od stopnia pokrewieństwa, które łączy zapisodawcę z zapisobiercą. </w:t>
      </w:r>
      <w:r>
        <w:rPr>
          <w:rFonts w:ascii="Times New Roman" w:cs="Times New Roman" w:hAnsi="Times New Roman"/>
          <w:sz w:val="24"/>
          <w:szCs w:val="24"/>
        </w:rPr>
        <w:t>Wysokość podatku jest tym</w:t>
      </w:r>
      <w:r>
        <w:rPr>
          <w:rFonts w:ascii="Times New Roman" w:cs="Times New Roman" w:hAnsi="Times New Roman"/>
          <w:b/>
          <w:sz w:val="24"/>
          <w:szCs w:val="24"/>
        </w:rPr>
        <w:t xml:space="preserve"> </w:t>
      </w:r>
      <w:r>
        <w:rPr>
          <w:rFonts w:ascii="Times New Roman" w:cs="Times New Roman" w:hAnsi="Times New Roman"/>
          <w:sz w:val="24"/>
          <w:szCs w:val="24"/>
        </w:rPr>
        <w:t xml:space="preserve">wyższa, im pokrewieństwo jest dalsze. </w:t>
      </w:r>
      <w:r>
        <w:rPr>
          <w:rFonts w:ascii="Times New Roman" w:cs="Times New Roman" w:hAnsi="Times New Roman"/>
          <w:b/>
          <w:sz w:val="24"/>
          <w:szCs w:val="24"/>
        </w:rPr>
        <w:t>Największą kwotę płacą osoby, które nie są ze sobą spokrewnione.</w:t>
      </w:r>
      <w:r>
        <w:rPr>
          <w:rFonts w:ascii="Times New Roman" w:cs="Times New Roman" w:hAnsi="Times New Roman"/>
          <w:sz w:val="24"/>
          <w:szCs w:val="24"/>
        </w:rPr>
        <w:t xml:space="preserve"> Chcąc zapłacić podatek, należy złożyć  zeznanie podatkowe na specjalnym formularzu. Podatek nie jest obliczany samodzielnie przez zapisobiorcę, czeka on na decyzję fiskusa o wysokości podatku. Obowiązuje termin jednego miesiąca na złożenie formularza w urzędzie skarbowym od czasu powstania obowiązku podatkowego czyli od momentu przyjęcia spadku.</w:t>
      </w:r>
    </w:p>
    <w:p>
      <w:pPr>
        <w:pStyle w:val="style0"/>
        <w:spacing w:line="360" w:lineRule="auto"/>
      </w:pPr>
      <w:r>
        <w:rPr>
          <w:rFonts w:ascii="Times New Roman" w:cs="Times New Roman" w:hAnsi="Times New Roman"/>
          <w:sz w:val="24"/>
          <w:szCs w:val="24"/>
        </w:rPr>
        <w:t xml:space="preserve"> </w:t>
      </w:r>
    </w:p>
    <w:p>
      <w:pPr>
        <w:pStyle w:val="style0"/>
        <w:spacing w:line="360" w:lineRule="auto"/>
      </w:pPr>
      <w:r>
        <w:rPr/>
      </w:r>
    </w:p>
    <w:p>
      <w:pPr>
        <w:pStyle w:val="style0"/>
        <w:spacing w:line="360" w:lineRule="auto"/>
      </w:pPr>
      <w:r>
        <w:rPr>
          <w:rFonts w:ascii="Times New Roman" w:cs="Times New Roman" w:hAnsi="Times New Roman"/>
          <w:sz w:val="24"/>
          <w:szCs w:val="24"/>
        </w:rPr>
        <w:t>Na zakończenie niniejszego artykułu należy powiedzieć, że nie trzeba składać zeznania do urzędu skarbowego, gdy wartość spadku (zapisu windykacyjnego) otrzymanego od jednej osoby nie przekroczyła w ciągu 5 lat kwoty wolnej od podatku.</w:t>
      </w:r>
    </w:p>
    <w:p>
      <w:pPr>
        <w:pStyle w:val="style0"/>
        <w:spacing w:line="360" w:lineRule="auto"/>
      </w:pPr>
      <w:r>
        <w:rPr>
          <w:rFonts w:ascii="Times New Roman" w:cs="Times New Roman" w:hAnsi="Times New Roman"/>
          <w:b/>
          <w:bCs/>
          <w:color w:val="000000"/>
          <w:u w:val="single"/>
        </w:rPr>
        <w:t xml:space="preserve">Kwoty wolne od podatku </w:t>
      </w:r>
    </w:p>
    <w:p>
      <w:pPr>
        <w:pStyle w:val="style0"/>
        <w:spacing w:line="360" w:lineRule="auto"/>
      </w:pPr>
      <w:r>
        <w:rPr>
          <w:rFonts w:ascii="Times New Roman" w:cs="Times New Roman" w:hAnsi="Times New Roman"/>
          <w:b/>
          <w:bCs/>
          <w:color w:val="000000"/>
        </w:rPr>
        <w:t xml:space="preserve">9 637 zł </w:t>
      </w:r>
      <w:r>
        <w:rPr>
          <w:rFonts w:ascii="Times New Roman" w:cs="Times New Roman" w:hAnsi="Times New Roman"/>
          <w:color w:val="000000"/>
        </w:rPr>
        <w:t>dla nabywców zaliczanych do I grupy</w:t>
      </w:r>
    </w:p>
    <w:p>
      <w:pPr>
        <w:pStyle w:val="style0"/>
        <w:spacing w:line="360" w:lineRule="auto"/>
      </w:pPr>
      <w:r>
        <w:rPr>
          <w:rFonts w:ascii="Times New Roman" w:cs="Times New Roman" w:hAnsi="Times New Roman"/>
          <w:b/>
          <w:bCs/>
          <w:color w:val="000000"/>
        </w:rPr>
        <w:t xml:space="preserve">7 276 zł </w:t>
      </w:r>
      <w:r>
        <w:rPr>
          <w:rFonts w:ascii="Times New Roman" w:cs="Times New Roman" w:hAnsi="Times New Roman"/>
          <w:color w:val="000000"/>
        </w:rPr>
        <w:t>dla nabywców zaliczanych do II grupy</w:t>
      </w:r>
    </w:p>
    <w:p>
      <w:pPr>
        <w:pStyle w:val="style0"/>
        <w:spacing w:line="360" w:lineRule="auto"/>
      </w:pPr>
      <w:r>
        <w:rPr>
          <w:rFonts w:ascii="Times New Roman" w:cs="Times New Roman" w:hAnsi="Times New Roman"/>
          <w:b/>
          <w:bCs/>
          <w:color w:val="000000"/>
        </w:rPr>
        <w:t xml:space="preserve">4.902 zł </w:t>
      </w:r>
      <w:r>
        <w:rPr>
          <w:rFonts w:ascii="Times New Roman" w:cs="Times New Roman" w:hAnsi="Times New Roman"/>
          <w:color w:val="000000"/>
        </w:rPr>
        <w:t>dla nabywców zaliczanych do III grupy</w:t>
      </w:r>
    </w:p>
    <w:p>
      <w:pPr>
        <w:pStyle w:val="style0"/>
        <w:spacing w:line="360" w:lineRule="auto"/>
      </w:pPr>
      <w:r>
        <w:rPr>
          <w:rFonts w:ascii="Times New Roman" w:cs="Times New Roman" w:hAnsi="Times New Roman"/>
          <w:color w:val="000000"/>
        </w:rPr>
        <w:t>Podatek płaci się dopiero od nadwyżki ponad kwoty wolne.</w:t>
      </w:r>
    </w:p>
    <w:p>
      <w:pPr>
        <w:pStyle w:val="style0"/>
        <w:spacing w:line="360" w:lineRule="auto"/>
      </w:pPr>
      <w:r>
        <w:rPr/>
      </w:r>
    </w:p>
    <w:sectPr>
      <w:type w:val="nextPage"/>
      <w:pgSz w:h="16838" w:w="11906"/>
      <w:pgMar w:bottom="1417" w:footer="0" w:gutter="0" w:header="0" w:left="1417" w:right="1417"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80"/>
      </w:pPr>
      <w:rPr>
        <w:rFonts w:ascii="Symbol" w:cs="Symbol" w:hAnsi="Symbol" w:hint="default"/>
      </w:rPr>
    </w:lvl>
    <w:lvl w:ilvl="1">
      <w:start w:val="1"/>
      <w:numFmt w:val="bullet"/>
      <w:lvlText w:val="o"/>
      <w:lvlJc w:val="left"/>
      <w:pPr>
        <w:ind w:hanging="360" w:left="1500"/>
      </w:pPr>
      <w:rPr>
        <w:rFonts w:ascii="Courier New" w:cs="Courier New" w:hAnsi="Courier New" w:hint="default"/>
      </w:rPr>
    </w:lvl>
    <w:lvl w:ilvl="2">
      <w:start w:val="1"/>
      <w:numFmt w:val="bullet"/>
      <w:lvlText w:val=""/>
      <w:lvlJc w:val="left"/>
      <w:pPr>
        <w:ind w:hanging="360" w:left="2220"/>
      </w:pPr>
      <w:rPr>
        <w:rFonts w:ascii="Wingdings" w:cs="Wingdings" w:hAnsi="Wingdings" w:hint="default"/>
      </w:rPr>
    </w:lvl>
    <w:lvl w:ilvl="3">
      <w:start w:val="1"/>
      <w:numFmt w:val="bullet"/>
      <w:lvlText w:val=""/>
      <w:lvlJc w:val="left"/>
      <w:pPr>
        <w:ind w:hanging="360" w:left="2940"/>
      </w:pPr>
      <w:rPr>
        <w:rFonts w:ascii="Symbol" w:cs="Symbol" w:hAnsi="Symbol" w:hint="default"/>
      </w:rPr>
    </w:lvl>
    <w:lvl w:ilvl="4">
      <w:start w:val="1"/>
      <w:numFmt w:val="bullet"/>
      <w:lvlText w:val="o"/>
      <w:lvlJc w:val="left"/>
      <w:pPr>
        <w:ind w:hanging="360" w:left="3660"/>
      </w:pPr>
      <w:rPr>
        <w:rFonts w:ascii="Courier New" w:cs="Courier New" w:hAnsi="Courier New" w:hint="default"/>
      </w:rPr>
    </w:lvl>
    <w:lvl w:ilvl="5">
      <w:start w:val="1"/>
      <w:numFmt w:val="bullet"/>
      <w:lvlText w:val=""/>
      <w:lvlJc w:val="left"/>
      <w:pPr>
        <w:ind w:hanging="360" w:left="4380"/>
      </w:pPr>
      <w:rPr>
        <w:rFonts w:ascii="Wingdings" w:cs="Wingdings" w:hAnsi="Wingdings" w:hint="default"/>
      </w:rPr>
    </w:lvl>
    <w:lvl w:ilvl="6">
      <w:start w:val="1"/>
      <w:numFmt w:val="bullet"/>
      <w:lvlText w:val=""/>
      <w:lvlJc w:val="left"/>
      <w:pPr>
        <w:ind w:hanging="360" w:left="5100"/>
      </w:pPr>
      <w:rPr>
        <w:rFonts w:ascii="Symbol" w:cs="Symbol" w:hAnsi="Symbol" w:hint="default"/>
      </w:rPr>
    </w:lvl>
    <w:lvl w:ilvl="7">
      <w:start w:val="1"/>
      <w:numFmt w:val="bullet"/>
      <w:lvlText w:val="o"/>
      <w:lvlJc w:val="left"/>
      <w:pPr>
        <w:ind w:hanging="360" w:left="5820"/>
      </w:pPr>
      <w:rPr>
        <w:rFonts w:ascii="Courier New" w:cs="Courier New" w:hAnsi="Courier New" w:hint="default"/>
      </w:rPr>
    </w:lvl>
    <w:lvl w:ilvl="8">
      <w:start w:val="1"/>
      <w:numFmt w:val="bullet"/>
      <w:lvlText w:val=""/>
      <w:lvlJc w:val="left"/>
      <w:pPr>
        <w:ind w:hanging="360" w:left="654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spacing w:line="240" w:lineRule="atLeast"/>
      <w:jc w:val="both"/>
    </w:pPr>
    <w:rPr>
      <w:rFonts w:ascii="Calibri" w:cs="Calibri" w:eastAsia="SimSun" w:hAnsi="Calibri"/>
      <w:color w:val="00000A"/>
      <w:sz w:val="22"/>
      <w:szCs w:val="22"/>
      <w:lang w:bidi="ar-SA" w:eastAsia="en-US" w:val="pl-PL"/>
    </w:rPr>
  </w:style>
  <w:style w:styleId="style15" w:type="character">
    <w:name w:val="Default Paragraph Font"/>
    <w:next w:val="style15"/>
    <w:rPr/>
  </w:style>
  <w:style w:styleId="style16" w:type="character">
    <w:name w:val="Tekst przypisu końcowego Znak"/>
    <w:basedOn w:val="style15"/>
    <w:next w:val="style16"/>
    <w:rPr>
      <w:sz w:val="20"/>
      <w:szCs w:val="20"/>
    </w:rPr>
  </w:style>
  <w:style w:styleId="style17" w:type="character">
    <w:name w:val="endnote reference"/>
    <w:basedOn w:val="style15"/>
    <w:next w:val="style17"/>
    <w:rPr>
      <w:vertAlign w:val="superscript"/>
    </w:rPr>
  </w:style>
  <w:style w:styleId="style18" w:type="character">
    <w:name w:val="ListLabel 1"/>
    <w:next w:val="style18"/>
    <w:rPr>
      <w:rFonts w:cs="Courier New"/>
    </w:rPr>
  </w:style>
  <w:style w:styleId="style19" w:type="character">
    <w:name w:val="ListLabel 2"/>
    <w:next w:val="style19"/>
    <w:rPr>
      <w:rFonts w:cs="Symbol"/>
    </w:rPr>
  </w:style>
  <w:style w:styleId="style20" w:type="character">
    <w:name w:val="ListLabel 3"/>
    <w:next w:val="style20"/>
    <w:rPr>
      <w:rFonts w:cs="Courier New"/>
    </w:rPr>
  </w:style>
  <w:style w:styleId="style21" w:type="character">
    <w:name w:val="ListLabel 4"/>
    <w:next w:val="style21"/>
    <w:rPr>
      <w:rFonts w:cs="Wingdings"/>
    </w:rPr>
  </w:style>
  <w:style w:styleId="style22" w:type="paragraph">
    <w:name w:val="Nagłówek"/>
    <w:basedOn w:val="style0"/>
    <w:next w:val="style23"/>
    <w:pPr>
      <w:keepNext/>
      <w:spacing w:after="120" w:before="240"/>
    </w:pPr>
    <w:rPr>
      <w:rFonts w:ascii="Arial" w:cs="Mangal" w:eastAsia="Microsoft YaHei" w:hAnsi="Arial"/>
      <w:sz w:val="28"/>
      <w:szCs w:val="28"/>
    </w:rPr>
  </w:style>
  <w:style w:styleId="style23" w:type="paragraph">
    <w:name w:val="Treść tekstu"/>
    <w:basedOn w:val="style0"/>
    <w:next w:val="style23"/>
    <w:pPr>
      <w:spacing w:after="120" w:before="0"/>
    </w:pPr>
    <w:rPr/>
  </w:style>
  <w:style w:styleId="style24" w:type="paragraph">
    <w:name w:val="Lista"/>
    <w:basedOn w:val="style23"/>
    <w:next w:val="style24"/>
    <w:pPr/>
    <w:rPr>
      <w:rFonts w:cs="Mangal"/>
    </w:rPr>
  </w:style>
  <w:style w:styleId="style25" w:type="paragraph">
    <w:name w:val="Podpis"/>
    <w:basedOn w:val="style0"/>
    <w:next w:val="style25"/>
    <w:pPr>
      <w:suppressLineNumbers/>
      <w:spacing w:after="120" w:before="120"/>
    </w:pPr>
    <w:rPr>
      <w:rFonts w:cs="Mangal"/>
      <w:i/>
      <w:iCs/>
      <w:sz w:val="24"/>
      <w:szCs w:val="24"/>
    </w:rPr>
  </w:style>
  <w:style w:styleId="style26" w:type="paragraph">
    <w:name w:val="Indeks"/>
    <w:basedOn w:val="style0"/>
    <w:next w:val="style26"/>
    <w:pPr>
      <w:suppressLineNumbers/>
    </w:pPr>
    <w:rPr>
      <w:rFonts w:cs="Mangal"/>
    </w:rPr>
  </w:style>
  <w:style w:styleId="style27" w:type="paragraph">
    <w:name w:val="List Paragraph"/>
    <w:basedOn w:val="style0"/>
    <w:next w:val="style27"/>
    <w:pPr>
      <w:ind w:hanging="0" w:left="720" w:right="0"/>
    </w:pPr>
    <w:rPr/>
  </w:style>
  <w:style w:styleId="style28" w:type="paragraph">
    <w:name w:val="endnote text"/>
    <w:basedOn w:val="style0"/>
    <w:next w:val="style28"/>
    <w:pPr>
      <w:spacing w:line="100" w:lineRule="atLeas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2012-10-31T11:21:00.00Z</dcterms:created>
  <dc:creator>User</dc:creator>
  <cp:lastModifiedBy>User</cp:lastModifiedBy>
  <dcterms:modified xsi:type="dcterms:W3CDTF">2012-10-31T14:34:00.00Z</dcterms:modified>
  <cp:revision>11</cp:revision>
</cp:coreProperties>
</file>